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750" w:rsidRPr="0068681F" w:rsidRDefault="00722750" w:rsidP="00722750">
      <w:pPr>
        <w:pStyle w:val="a3"/>
        <w:spacing w:line="360" w:lineRule="auto"/>
        <w:rPr>
          <w:b w:val="0"/>
          <w:sz w:val="28"/>
          <w:szCs w:val="28"/>
        </w:rPr>
      </w:pPr>
      <w:bookmarkStart w:id="0" w:name="_Ref502238894"/>
      <w:r w:rsidRPr="0068681F">
        <w:rPr>
          <w:b w:val="0"/>
          <w:sz w:val="28"/>
          <w:szCs w:val="28"/>
        </w:rPr>
        <w:t xml:space="preserve">Таблица </w:t>
      </w:r>
      <w:r w:rsidRPr="0068681F">
        <w:rPr>
          <w:b w:val="0"/>
          <w:sz w:val="28"/>
          <w:szCs w:val="28"/>
        </w:rPr>
        <w:fldChar w:fldCharType="begin"/>
      </w:r>
      <w:r w:rsidRPr="0068681F">
        <w:rPr>
          <w:b w:val="0"/>
          <w:sz w:val="28"/>
          <w:szCs w:val="28"/>
        </w:rPr>
        <w:instrText xml:space="preserve"> SEQ Таблица \* ARABIC </w:instrText>
      </w:r>
      <w:r w:rsidRPr="0068681F">
        <w:rPr>
          <w:b w:val="0"/>
          <w:sz w:val="28"/>
          <w:szCs w:val="28"/>
        </w:rPr>
        <w:fldChar w:fldCharType="separate"/>
      </w:r>
      <w:r>
        <w:rPr>
          <w:b w:val="0"/>
          <w:noProof/>
          <w:sz w:val="28"/>
          <w:szCs w:val="28"/>
        </w:rPr>
        <w:t>6</w:t>
      </w:r>
      <w:r w:rsidRPr="0068681F">
        <w:rPr>
          <w:b w:val="0"/>
          <w:sz w:val="28"/>
          <w:szCs w:val="28"/>
        </w:rPr>
        <w:fldChar w:fldCharType="end"/>
      </w:r>
      <w:bookmarkEnd w:id="0"/>
      <w:r w:rsidRPr="0068681F">
        <w:rPr>
          <w:b w:val="0"/>
          <w:sz w:val="28"/>
          <w:szCs w:val="28"/>
        </w:rPr>
        <w:t xml:space="preserve"> </w:t>
      </w:r>
      <w:r w:rsidRPr="0068681F">
        <w:rPr>
          <w:b w:val="0"/>
          <w:sz w:val="28"/>
          <w:szCs w:val="28"/>
        </w:rPr>
        <w:noBreakHyphen/>
        <w:t xml:space="preserve"> Состав входной информации ПЗ «</w:t>
      </w:r>
      <w:bookmarkStart w:id="1" w:name="_Ref243319649"/>
      <w:r w:rsidRPr="0068681F">
        <w:rPr>
          <w:b w:val="0"/>
          <w:sz w:val="28"/>
          <w:szCs w:val="28"/>
        </w:rPr>
        <w:t xml:space="preserve">Поиск </w:t>
      </w:r>
      <w:r w:rsidRPr="008A53D8">
        <w:rPr>
          <w:rFonts w:eastAsia="Symbol"/>
          <w:b w:val="0"/>
          <w:snapToGrid w:val="0"/>
          <w:sz w:val="28"/>
          <w:szCs w:val="28"/>
        </w:rPr>
        <w:t>сведений</w:t>
      </w:r>
      <w:r w:rsidRPr="0068681F">
        <w:rPr>
          <w:b w:val="0"/>
          <w:sz w:val="28"/>
          <w:szCs w:val="28"/>
        </w:rPr>
        <w:t>»</w:t>
      </w:r>
      <w:bookmarkEnd w:id="1"/>
    </w:p>
    <w:tbl>
      <w:tblPr>
        <w:tblW w:w="1577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2474"/>
        <w:gridCol w:w="2699"/>
        <w:gridCol w:w="3266"/>
        <w:gridCol w:w="2879"/>
        <w:gridCol w:w="1620"/>
        <w:gridCol w:w="2334"/>
      </w:tblGrid>
      <w:tr w:rsidR="00722750" w:rsidRPr="00F17067" w:rsidTr="00722750">
        <w:trPr>
          <w:tblHeader/>
        </w:trPr>
        <w:tc>
          <w:tcPr>
            <w:tcW w:w="498" w:type="dxa"/>
            <w:shd w:val="clear" w:color="auto" w:fill="auto"/>
            <w:vAlign w:val="center"/>
          </w:tcPr>
          <w:p w:rsidR="00722750" w:rsidRPr="00F17067" w:rsidRDefault="00722750" w:rsidP="00010455">
            <w:pPr>
              <w:pStyle w:val="0"/>
              <w:spacing w:line="276" w:lineRule="auto"/>
              <w:jc w:val="center"/>
              <w:rPr>
                <w:b/>
                <w:bCs/>
                <w:szCs w:val="24"/>
              </w:rPr>
            </w:pPr>
            <w:r w:rsidRPr="00F17067">
              <w:rPr>
                <w:b/>
                <w:bCs/>
                <w:szCs w:val="24"/>
              </w:rPr>
              <w:t>№</w:t>
            </w:r>
          </w:p>
        </w:tc>
        <w:tc>
          <w:tcPr>
            <w:tcW w:w="2474" w:type="dxa"/>
            <w:shd w:val="clear" w:color="auto" w:fill="auto"/>
            <w:vAlign w:val="center"/>
          </w:tcPr>
          <w:p w:rsidR="00722750" w:rsidRPr="00F17067" w:rsidRDefault="00722750" w:rsidP="00010455">
            <w:pPr>
              <w:pStyle w:val="0"/>
              <w:spacing w:line="276" w:lineRule="auto"/>
              <w:jc w:val="center"/>
              <w:rPr>
                <w:b/>
                <w:bCs/>
                <w:szCs w:val="24"/>
              </w:rPr>
            </w:pPr>
            <w:r w:rsidRPr="00F17067">
              <w:rPr>
                <w:b/>
                <w:bCs/>
                <w:szCs w:val="24"/>
              </w:rPr>
              <w:t>Информационный массив</w:t>
            </w:r>
          </w:p>
        </w:tc>
        <w:tc>
          <w:tcPr>
            <w:tcW w:w="2699" w:type="dxa"/>
            <w:shd w:val="clear" w:color="auto" w:fill="auto"/>
            <w:vAlign w:val="center"/>
          </w:tcPr>
          <w:p w:rsidR="00722750" w:rsidRPr="00F17067" w:rsidRDefault="00722750" w:rsidP="00010455">
            <w:pPr>
              <w:pStyle w:val="0"/>
              <w:spacing w:line="276" w:lineRule="auto"/>
              <w:jc w:val="center"/>
              <w:rPr>
                <w:b/>
                <w:bCs/>
                <w:szCs w:val="24"/>
              </w:rPr>
            </w:pPr>
            <w:r w:rsidRPr="00F17067">
              <w:rPr>
                <w:b/>
                <w:bCs/>
                <w:szCs w:val="24"/>
              </w:rPr>
              <w:t>Способ п</w:t>
            </w:r>
            <w:r>
              <w:rPr>
                <w:b/>
                <w:bCs/>
                <w:szCs w:val="24"/>
              </w:rPr>
              <w:t>редставления</w:t>
            </w:r>
          </w:p>
        </w:tc>
        <w:tc>
          <w:tcPr>
            <w:tcW w:w="3266" w:type="dxa"/>
            <w:shd w:val="clear" w:color="auto" w:fill="auto"/>
            <w:vAlign w:val="center"/>
          </w:tcPr>
          <w:p w:rsidR="00722750" w:rsidRPr="00F17067" w:rsidRDefault="00722750" w:rsidP="00010455">
            <w:pPr>
              <w:pStyle w:val="0"/>
              <w:spacing w:line="276" w:lineRule="auto"/>
              <w:jc w:val="center"/>
              <w:rPr>
                <w:b/>
                <w:bCs/>
                <w:szCs w:val="24"/>
              </w:rPr>
            </w:pPr>
            <w:r w:rsidRPr="00F17067">
              <w:rPr>
                <w:b/>
                <w:bCs/>
                <w:szCs w:val="24"/>
              </w:rPr>
              <w:t>Источник данных, регламент обновления</w:t>
            </w:r>
          </w:p>
        </w:tc>
        <w:tc>
          <w:tcPr>
            <w:tcW w:w="2879" w:type="dxa"/>
            <w:shd w:val="clear" w:color="auto" w:fill="auto"/>
            <w:vAlign w:val="center"/>
          </w:tcPr>
          <w:p w:rsidR="00722750" w:rsidRPr="00F17067" w:rsidRDefault="00722750" w:rsidP="00010455">
            <w:pPr>
              <w:pStyle w:val="0"/>
              <w:spacing w:line="276" w:lineRule="auto"/>
              <w:jc w:val="center"/>
              <w:rPr>
                <w:b/>
                <w:bCs/>
                <w:szCs w:val="24"/>
              </w:rPr>
            </w:pPr>
            <w:r w:rsidRPr="00F17067">
              <w:rPr>
                <w:b/>
                <w:bCs/>
                <w:szCs w:val="24"/>
              </w:rPr>
              <w:t>Накапливаемая информация</w:t>
            </w:r>
          </w:p>
        </w:tc>
        <w:tc>
          <w:tcPr>
            <w:tcW w:w="1620" w:type="dxa"/>
            <w:shd w:val="clear" w:color="auto" w:fill="auto"/>
            <w:vAlign w:val="center"/>
          </w:tcPr>
          <w:p w:rsidR="00722750" w:rsidRPr="00F17067" w:rsidRDefault="00722750" w:rsidP="00010455">
            <w:pPr>
              <w:pStyle w:val="0"/>
              <w:spacing w:line="276" w:lineRule="auto"/>
              <w:jc w:val="center"/>
              <w:rPr>
                <w:b/>
                <w:bCs/>
                <w:szCs w:val="24"/>
              </w:rPr>
            </w:pPr>
            <w:r w:rsidRPr="00F17067">
              <w:rPr>
                <w:b/>
                <w:bCs/>
                <w:szCs w:val="24"/>
              </w:rPr>
              <w:t>Оценка объема данных</w:t>
            </w:r>
          </w:p>
        </w:tc>
        <w:tc>
          <w:tcPr>
            <w:tcW w:w="2334" w:type="dxa"/>
            <w:shd w:val="clear" w:color="auto" w:fill="auto"/>
            <w:vAlign w:val="center"/>
          </w:tcPr>
          <w:p w:rsidR="00722750" w:rsidRPr="00F17067" w:rsidRDefault="00722750" w:rsidP="00010455">
            <w:pPr>
              <w:pStyle w:val="0"/>
              <w:tabs>
                <w:tab w:val="left" w:pos="72"/>
              </w:tabs>
              <w:spacing w:line="276" w:lineRule="auto"/>
              <w:jc w:val="center"/>
              <w:rPr>
                <w:b/>
                <w:bCs/>
                <w:szCs w:val="24"/>
              </w:rPr>
            </w:pPr>
            <w:r w:rsidRPr="00F17067">
              <w:rPr>
                <w:b/>
                <w:bCs/>
                <w:szCs w:val="24"/>
              </w:rPr>
              <w:t>Функциональные задачи, в которых используется массив</w:t>
            </w:r>
          </w:p>
        </w:tc>
      </w:tr>
      <w:tr w:rsidR="00722750" w:rsidRPr="00F17067" w:rsidTr="00722750">
        <w:trPr>
          <w:trHeight w:val="2278"/>
        </w:trPr>
        <w:tc>
          <w:tcPr>
            <w:tcW w:w="498" w:type="dxa"/>
            <w:shd w:val="clear" w:color="auto" w:fill="auto"/>
          </w:tcPr>
          <w:p w:rsidR="00722750" w:rsidRPr="00F17067" w:rsidRDefault="00722750" w:rsidP="00722750">
            <w:pPr>
              <w:pStyle w:val="0"/>
              <w:numPr>
                <w:ilvl w:val="0"/>
                <w:numId w:val="1"/>
              </w:numPr>
              <w:kinsoku/>
              <w:overflowPunct/>
              <w:autoSpaceDE/>
              <w:autoSpaceDN/>
              <w:spacing w:line="276" w:lineRule="auto"/>
              <w:ind w:left="0" w:firstLine="0"/>
              <w:jc w:val="left"/>
              <w:rPr>
                <w:bCs/>
                <w:szCs w:val="24"/>
              </w:rPr>
            </w:pPr>
          </w:p>
        </w:tc>
        <w:tc>
          <w:tcPr>
            <w:tcW w:w="2474" w:type="dxa"/>
            <w:shd w:val="clear" w:color="auto" w:fill="auto"/>
          </w:tcPr>
          <w:p w:rsidR="00722750" w:rsidRPr="00F17067" w:rsidRDefault="00722750" w:rsidP="00722750">
            <w:r>
              <w:t>Базы данных АИС «Налог-3»</w:t>
            </w:r>
          </w:p>
        </w:tc>
        <w:tc>
          <w:tcPr>
            <w:tcW w:w="2699" w:type="dxa"/>
            <w:shd w:val="clear" w:color="auto" w:fill="auto"/>
          </w:tcPr>
          <w:p w:rsidR="00722750" w:rsidRDefault="00722750" w:rsidP="00722750">
            <w:r w:rsidRPr="00F17067">
              <w:t>Записи в б</w:t>
            </w:r>
            <w:r>
              <w:t>азе данных под управлением СУБД:</w:t>
            </w:r>
          </w:p>
          <w:p w:rsidR="00722750" w:rsidRPr="00125EE3" w:rsidRDefault="00722750" w:rsidP="00722750">
            <w:pPr>
              <w:rPr>
                <w:lang w:val="en-US"/>
              </w:rPr>
            </w:pPr>
            <w:hyperlink r:id="rId7" w:tooltip="Oracle Database 11g" w:history="1">
              <w:r>
                <w:rPr>
                  <w:lang w:val="en-US"/>
                </w:rPr>
                <w:t>Oracle</w:t>
              </w:r>
            </w:hyperlink>
            <w:r>
              <w:rPr>
                <w:rStyle w:val="a8"/>
              </w:rPr>
              <w:footnoteReference w:id="1"/>
            </w:r>
            <w:r w:rsidRPr="007150E5">
              <w:rPr>
                <w:lang w:val="en-US"/>
              </w:rPr>
              <w:t xml:space="preserve"> – </w:t>
            </w:r>
            <w:r>
              <w:t>на</w:t>
            </w:r>
            <w:r w:rsidRPr="007150E5">
              <w:rPr>
                <w:lang w:val="en-US"/>
              </w:rPr>
              <w:t xml:space="preserve"> </w:t>
            </w:r>
            <w:r>
              <w:t>этапе</w:t>
            </w:r>
            <w:r w:rsidRPr="00370A6F">
              <w:rPr>
                <w:lang w:val="en-US"/>
              </w:rPr>
              <w:t xml:space="preserve"> </w:t>
            </w:r>
            <w:r>
              <w:t>макета</w:t>
            </w:r>
            <w:r w:rsidRPr="00125EE3">
              <w:rPr>
                <w:lang w:val="en-US"/>
              </w:rPr>
              <w:t>;</w:t>
            </w:r>
          </w:p>
          <w:p w:rsidR="00722750" w:rsidRDefault="00722750" w:rsidP="00722750">
            <w:pPr>
              <w:rPr>
                <w:lang w:val="en-US"/>
              </w:rPr>
            </w:pPr>
            <w:hyperlink r:id="rId8" w:tooltip="Microsoft SQL Server 2005" w:history="1">
              <w:r>
                <w:rPr>
                  <w:lang w:val="en-US"/>
                </w:rPr>
                <w:t>Microsoft SQL Server</w:t>
              </w:r>
            </w:hyperlink>
            <w:r>
              <w:rPr>
                <w:rStyle w:val="a8"/>
                <w:lang w:val="en-US"/>
              </w:rPr>
              <w:footnoteReference w:id="2"/>
            </w:r>
            <w:r w:rsidRPr="007150E5">
              <w:rPr>
                <w:lang w:val="en-US"/>
              </w:rPr>
              <w:t>,</w:t>
            </w:r>
          </w:p>
          <w:p w:rsidR="00722750" w:rsidRPr="00147C36" w:rsidRDefault="00722750" w:rsidP="00722750">
            <w:pPr>
              <w:rPr>
                <w:lang w:val="en-US"/>
              </w:rPr>
            </w:pPr>
            <w:r>
              <w:rPr>
                <w:lang w:val="en-US"/>
              </w:rPr>
              <w:t>Teradata</w:t>
            </w:r>
            <w:r>
              <w:rPr>
                <w:rStyle w:val="a8"/>
                <w:lang w:val="en-US"/>
              </w:rPr>
              <w:footnoteReference w:id="3"/>
            </w:r>
            <w:r w:rsidRPr="007150E5">
              <w:rPr>
                <w:lang w:val="en-US"/>
              </w:rPr>
              <w:t>,</w:t>
            </w:r>
          </w:p>
          <w:p w:rsidR="00722750" w:rsidRPr="00370A6F" w:rsidRDefault="00722750" w:rsidP="00722750">
            <w:pPr>
              <w:rPr>
                <w:lang w:val="en-US"/>
              </w:rPr>
            </w:pPr>
            <w:proofErr w:type="spellStart"/>
            <w:r>
              <w:rPr>
                <w:lang w:val="en-US"/>
              </w:rPr>
              <w:t>PostgreSQL</w:t>
            </w:r>
            <w:proofErr w:type="spellEnd"/>
            <w:r w:rsidRPr="00370A6F">
              <w:rPr>
                <w:lang w:val="en-US"/>
              </w:rPr>
              <w:t xml:space="preserve"> </w:t>
            </w:r>
            <w:r>
              <w:t>х</w:t>
            </w:r>
            <w:r w:rsidRPr="00370A6F">
              <w:rPr>
                <w:lang w:val="en-US"/>
              </w:rPr>
              <w:t>.</w:t>
            </w:r>
            <w:r>
              <w:t>х</w:t>
            </w:r>
            <w:r w:rsidRPr="00370A6F">
              <w:rPr>
                <w:lang w:val="en-US"/>
              </w:rPr>
              <w:t xml:space="preserve"> – </w:t>
            </w:r>
            <w:r>
              <w:t>опционально</w:t>
            </w:r>
            <w:r w:rsidRPr="00370A6F">
              <w:rPr>
                <w:lang w:val="en-US"/>
              </w:rPr>
              <w:t>.</w:t>
            </w:r>
          </w:p>
        </w:tc>
        <w:tc>
          <w:tcPr>
            <w:tcW w:w="3266" w:type="dxa"/>
            <w:shd w:val="clear" w:color="auto" w:fill="auto"/>
          </w:tcPr>
          <w:p w:rsidR="00722750" w:rsidRPr="0080714C" w:rsidRDefault="00722750" w:rsidP="00722750">
            <w:pPr>
              <w:widowControl w:val="0"/>
              <w:ind w:left="-43"/>
            </w:pPr>
            <w:r w:rsidRPr="0080714C">
              <w:t>Хранилище данных налоговых органов, заполняется АИС</w:t>
            </w:r>
            <w:r>
              <w:t xml:space="preserve"> «Налог-3»</w:t>
            </w:r>
            <w:r w:rsidRPr="0080714C">
              <w:t>,</w:t>
            </w:r>
          </w:p>
          <w:p w:rsidR="00722750" w:rsidRPr="0080714C" w:rsidRDefault="00722750" w:rsidP="00722750">
            <w:pPr>
              <w:widowControl w:val="0"/>
              <w:ind w:left="-43"/>
            </w:pPr>
            <w:r w:rsidRPr="0080714C">
              <w:t>Регламент обновления – ежедневно в автоматизированном режиме</w:t>
            </w:r>
          </w:p>
          <w:p w:rsidR="00722750" w:rsidRPr="0080714C" w:rsidRDefault="00722750" w:rsidP="00722750">
            <w:pPr>
              <w:widowControl w:val="0"/>
              <w:ind w:left="-43"/>
            </w:pPr>
          </w:p>
        </w:tc>
        <w:tc>
          <w:tcPr>
            <w:tcW w:w="2879" w:type="dxa"/>
            <w:shd w:val="clear" w:color="auto" w:fill="auto"/>
          </w:tcPr>
          <w:p w:rsidR="00722750" w:rsidRPr="003D0E0F" w:rsidRDefault="00722750" w:rsidP="00722750">
            <w:pPr>
              <w:widowControl w:val="0"/>
              <w:ind w:left="-43"/>
            </w:pPr>
            <w:r>
              <w:rPr>
                <w:bCs/>
              </w:rPr>
              <w:t>Структура таблиц</w:t>
            </w:r>
            <w:r w:rsidRPr="00F17067">
              <w:rPr>
                <w:bCs/>
              </w:rPr>
              <w:t xml:space="preserve"> </w:t>
            </w:r>
            <w:r w:rsidRPr="00F17067">
              <w:t>б</w:t>
            </w:r>
            <w:r>
              <w:t>аз данных (модель данных источника)</w:t>
            </w:r>
          </w:p>
        </w:tc>
        <w:tc>
          <w:tcPr>
            <w:tcW w:w="1620" w:type="dxa"/>
            <w:shd w:val="clear" w:color="auto" w:fill="auto"/>
          </w:tcPr>
          <w:p w:rsidR="00722750" w:rsidRPr="00503EC8" w:rsidRDefault="00722750" w:rsidP="00722750">
            <w:pPr>
              <w:widowControl w:val="0"/>
              <w:ind w:left="-43"/>
              <w:rPr>
                <w:bCs/>
              </w:rPr>
            </w:pPr>
            <w:proofErr w:type="gramStart"/>
            <w:r w:rsidRPr="00503EC8">
              <w:rPr>
                <w:bCs/>
              </w:rPr>
              <w:t>до</w:t>
            </w:r>
            <w:proofErr w:type="gramEnd"/>
            <w:r w:rsidRPr="00503EC8">
              <w:rPr>
                <w:bCs/>
              </w:rPr>
              <w:t xml:space="preserve"> 10 баз данных;</w:t>
            </w:r>
          </w:p>
          <w:p w:rsidR="00722750" w:rsidRPr="00503EC8" w:rsidRDefault="00722750" w:rsidP="00722750">
            <w:pPr>
              <w:widowControl w:val="0"/>
              <w:ind w:left="-43"/>
              <w:rPr>
                <w:bCs/>
              </w:rPr>
            </w:pPr>
            <w:proofErr w:type="gramStart"/>
            <w:r w:rsidRPr="00503EC8">
              <w:rPr>
                <w:bCs/>
              </w:rPr>
              <w:t>до</w:t>
            </w:r>
            <w:proofErr w:type="gramEnd"/>
            <w:r w:rsidRPr="00503EC8">
              <w:rPr>
                <w:bCs/>
              </w:rPr>
              <w:t xml:space="preserve"> 100 таблиц в одной базе данных</w:t>
            </w:r>
            <w:bookmarkStart w:id="2" w:name="_Ref503271296"/>
            <w:r w:rsidRPr="00503EC8">
              <w:rPr>
                <w:rStyle w:val="a8"/>
                <w:bCs/>
              </w:rPr>
              <w:footnoteReference w:id="4"/>
            </w:r>
            <w:bookmarkEnd w:id="2"/>
            <w:r w:rsidRPr="00503EC8">
              <w:rPr>
                <w:bCs/>
              </w:rPr>
              <w:t xml:space="preserve"> </w:t>
            </w:r>
          </w:p>
        </w:tc>
        <w:tc>
          <w:tcPr>
            <w:tcW w:w="2334" w:type="dxa"/>
            <w:shd w:val="clear" w:color="auto" w:fill="auto"/>
          </w:tcPr>
          <w:p w:rsidR="00722750" w:rsidRPr="00F17067" w:rsidRDefault="00722750" w:rsidP="00722750">
            <w:pPr>
              <w:widowControl w:val="0"/>
              <w:ind w:left="-43"/>
              <w:rPr>
                <w:bCs/>
              </w:rPr>
            </w:pPr>
            <w:r>
              <w:rPr>
                <w:bCs/>
              </w:rPr>
              <w:t>Ф1</w:t>
            </w:r>
          </w:p>
        </w:tc>
      </w:tr>
      <w:tr w:rsidR="00722750" w:rsidRPr="00F17067" w:rsidTr="00722750">
        <w:trPr>
          <w:trHeight w:val="85"/>
        </w:trPr>
        <w:tc>
          <w:tcPr>
            <w:tcW w:w="498" w:type="dxa"/>
            <w:shd w:val="clear" w:color="auto" w:fill="auto"/>
          </w:tcPr>
          <w:p w:rsidR="00722750" w:rsidRPr="00F17067" w:rsidRDefault="00722750" w:rsidP="00722750">
            <w:pPr>
              <w:pStyle w:val="0"/>
              <w:numPr>
                <w:ilvl w:val="0"/>
                <w:numId w:val="1"/>
              </w:numPr>
              <w:kinsoku/>
              <w:overflowPunct/>
              <w:autoSpaceDE/>
              <w:autoSpaceDN/>
              <w:spacing w:line="276" w:lineRule="auto"/>
              <w:ind w:left="0" w:firstLine="0"/>
              <w:jc w:val="left"/>
              <w:rPr>
                <w:bCs/>
                <w:szCs w:val="24"/>
              </w:rPr>
            </w:pPr>
          </w:p>
        </w:tc>
        <w:tc>
          <w:tcPr>
            <w:tcW w:w="2474" w:type="dxa"/>
            <w:shd w:val="clear" w:color="auto" w:fill="auto"/>
          </w:tcPr>
          <w:p w:rsidR="00722750" w:rsidRPr="00F17067" w:rsidRDefault="00722750" w:rsidP="00722750">
            <w:r>
              <w:t xml:space="preserve">Журналы транзакций </w:t>
            </w:r>
          </w:p>
        </w:tc>
        <w:tc>
          <w:tcPr>
            <w:tcW w:w="2699" w:type="dxa"/>
            <w:shd w:val="clear" w:color="auto" w:fill="auto"/>
          </w:tcPr>
          <w:p w:rsidR="00722750" w:rsidRPr="00F17067" w:rsidRDefault="00722750" w:rsidP="00722750">
            <w:r>
              <w:t>Файлы журналов транзакций (*.</w:t>
            </w:r>
            <w:r>
              <w:rPr>
                <w:lang w:val="en-US"/>
              </w:rPr>
              <w:t>log</w:t>
            </w:r>
            <w:r>
              <w:t>)</w:t>
            </w:r>
          </w:p>
          <w:p w:rsidR="00722750" w:rsidRPr="00F17067" w:rsidRDefault="00722750" w:rsidP="00722750"/>
        </w:tc>
        <w:tc>
          <w:tcPr>
            <w:tcW w:w="3266" w:type="dxa"/>
            <w:shd w:val="clear" w:color="auto" w:fill="auto"/>
          </w:tcPr>
          <w:p w:rsidR="00722750" w:rsidRPr="0080714C" w:rsidRDefault="00722750" w:rsidP="00722750">
            <w:pPr>
              <w:widowControl w:val="0"/>
              <w:ind w:left="-43"/>
            </w:pPr>
            <w:r w:rsidRPr="0080714C">
              <w:t>Хранилище данных налоговых органов, заполняется АИС</w:t>
            </w:r>
            <w:r>
              <w:t xml:space="preserve"> «Налог-3»</w:t>
            </w:r>
            <w:r w:rsidRPr="0080714C">
              <w:t>,</w:t>
            </w:r>
          </w:p>
          <w:p w:rsidR="00722750" w:rsidRPr="0080714C" w:rsidRDefault="00722750" w:rsidP="00722750">
            <w:pPr>
              <w:widowControl w:val="0"/>
              <w:ind w:left="-43"/>
            </w:pPr>
            <w:r w:rsidRPr="0080714C">
              <w:t>Регламент обновления – ежедневно в автоматизированном режиме</w:t>
            </w:r>
          </w:p>
        </w:tc>
        <w:tc>
          <w:tcPr>
            <w:tcW w:w="2879" w:type="dxa"/>
            <w:shd w:val="clear" w:color="auto" w:fill="auto"/>
          </w:tcPr>
          <w:p w:rsidR="00722750" w:rsidRPr="006C54E7" w:rsidRDefault="00722750" w:rsidP="00722750">
            <w:pPr>
              <w:widowControl w:val="0"/>
              <w:ind w:left="-43"/>
            </w:pPr>
            <w:r>
              <w:t>О</w:t>
            </w:r>
            <w:r w:rsidRPr="00F17067">
              <w:t>бъекты</w:t>
            </w:r>
            <w:r>
              <w:t xml:space="preserve"> предметной области ПЗ, в</w:t>
            </w:r>
            <w:r w:rsidRPr="00F17067">
              <w:t>ыделяемые</w:t>
            </w:r>
            <w:r>
              <w:t xml:space="preserve"> из записей журналов транзакций</w:t>
            </w:r>
          </w:p>
        </w:tc>
        <w:tc>
          <w:tcPr>
            <w:tcW w:w="1620" w:type="dxa"/>
            <w:shd w:val="clear" w:color="auto" w:fill="auto"/>
          </w:tcPr>
          <w:p w:rsidR="00722750" w:rsidRPr="00503EC8" w:rsidRDefault="00722750" w:rsidP="00722750">
            <w:pPr>
              <w:widowControl w:val="0"/>
              <w:ind w:left="-43"/>
              <w:rPr>
                <w:bCs/>
              </w:rPr>
            </w:pPr>
            <w:proofErr w:type="gramStart"/>
            <w:r w:rsidRPr="00503EC8">
              <w:rPr>
                <w:bCs/>
              </w:rPr>
              <w:t>до</w:t>
            </w:r>
            <w:proofErr w:type="gramEnd"/>
            <w:r w:rsidRPr="00503EC8">
              <w:rPr>
                <w:bCs/>
              </w:rPr>
              <w:t xml:space="preserve"> 4 Тб в сутки в одном журнале; </w:t>
            </w:r>
          </w:p>
          <w:p w:rsidR="00722750" w:rsidRPr="00503EC8" w:rsidRDefault="00722750" w:rsidP="00722750">
            <w:pPr>
              <w:widowControl w:val="0"/>
              <w:ind w:left="-43"/>
              <w:rPr>
                <w:bCs/>
              </w:rPr>
            </w:pPr>
            <w:proofErr w:type="gramStart"/>
            <w:r w:rsidRPr="00503EC8">
              <w:rPr>
                <w:bCs/>
              </w:rPr>
              <w:t>до</w:t>
            </w:r>
            <w:proofErr w:type="gramEnd"/>
            <w:r w:rsidRPr="00503EC8">
              <w:rPr>
                <w:bCs/>
              </w:rPr>
              <w:t xml:space="preserve"> 10 журналов</w:t>
            </w:r>
            <w:r w:rsidRPr="00503EC8">
              <w:rPr>
                <w:bCs/>
                <w:vertAlign w:val="superscript"/>
              </w:rPr>
              <w:fldChar w:fldCharType="begin"/>
            </w:r>
            <w:r w:rsidRPr="00503EC8">
              <w:rPr>
                <w:bCs/>
                <w:vertAlign w:val="superscript"/>
              </w:rPr>
              <w:instrText xml:space="preserve"> NOTEREF _Ref503271296 \h </w:instrText>
            </w:r>
            <w:r w:rsidRPr="00503EC8">
              <w:rPr>
                <w:bCs/>
                <w:vertAlign w:val="superscript"/>
              </w:rPr>
            </w:r>
            <w:r w:rsidRPr="00503EC8">
              <w:rPr>
                <w:bCs/>
                <w:vertAlign w:val="superscript"/>
              </w:rPr>
              <w:instrText xml:space="preserve"> \* MERGEFORMAT </w:instrText>
            </w:r>
            <w:r w:rsidRPr="00503EC8">
              <w:rPr>
                <w:bCs/>
                <w:vertAlign w:val="superscript"/>
              </w:rPr>
              <w:fldChar w:fldCharType="separate"/>
            </w:r>
            <w:r>
              <w:rPr>
                <w:bCs/>
                <w:vertAlign w:val="superscript"/>
              </w:rPr>
              <w:t>5</w:t>
            </w:r>
            <w:r w:rsidRPr="00503EC8">
              <w:rPr>
                <w:bCs/>
                <w:vertAlign w:val="superscript"/>
              </w:rPr>
              <w:fldChar w:fldCharType="end"/>
            </w:r>
          </w:p>
          <w:p w:rsidR="00722750" w:rsidRPr="00503EC8" w:rsidRDefault="00722750" w:rsidP="00722750">
            <w:pPr>
              <w:jc w:val="right"/>
            </w:pPr>
          </w:p>
        </w:tc>
        <w:tc>
          <w:tcPr>
            <w:tcW w:w="2334" w:type="dxa"/>
            <w:shd w:val="clear" w:color="auto" w:fill="auto"/>
          </w:tcPr>
          <w:p w:rsidR="00722750" w:rsidRPr="00F17067" w:rsidRDefault="00722750" w:rsidP="00722750">
            <w:pPr>
              <w:widowControl w:val="0"/>
              <w:ind w:left="-43"/>
              <w:rPr>
                <w:bCs/>
              </w:rPr>
            </w:pPr>
            <w:r>
              <w:rPr>
                <w:bCs/>
              </w:rPr>
              <w:t>Ф2</w:t>
            </w:r>
          </w:p>
        </w:tc>
      </w:tr>
      <w:tr w:rsidR="00722750" w:rsidRPr="00F17067" w:rsidTr="00722750">
        <w:trPr>
          <w:trHeight w:val="1679"/>
        </w:trPr>
        <w:tc>
          <w:tcPr>
            <w:tcW w:w="498" w:type="dxa"/>
            <w:shd w:val="clear" w:color="auto" w:fill="auto"/>
          </w:tcPr>
          <w:p w:rsidR="00722750" w:rsidRPr="00F17067" w:rsidRDefault="00722750" w:rsidP="00722750">
            <w:pPr>
              <w:pStyle w:val="0"/>
              <w:numPr>
                <w:ilvl w:val="0"/>
                <w:numId w:val="1"/>
              </w:numPr>
              <w:kinsoku/>
              <w:overflowPunct/>
              <w:autoSpaceDE/>
              <w:autoSpaceDN/>
              <w:spacing w:line="276" w:lineRule="auto"/>
              <w:ind w:left="0" w:firstLine="0"/>
              <w:jc w:val="left"/>
              <w:rPr>
                <w:bCs/>
                <w:szCs w:val="24"/>
              </w:rPr>
            </w:pPr>
          </w:p>
        </w:tc>
        <w:tc>
          <w:tcPr>
            <w:tcW w:w="2474" w:type="dxa"/>
            <w:shd w:val="clear" w:color="auto" w:fill="auto"/>
          </w:tcPr>
          <w:p w:rsidR="00722750" w:rsidRPr="00F55610" w:rsidRDefault="00722750" w:rsidP="00722750">
            <w:pPr>
              <w:pStyle w:val="0"/>
              <w:spacing w:line="240" w:lineRule="auto"/>
              <w:jc w:val="left"/>
              <w:rPr>
                <w:rStyle w:val="a5"/>
                <w:bCs/>
                <w:i w:val="0"/>
                <w:szCs w:val="24"/>
              </w:rPr>
            </w:pPr>
            <w:r>
              <w:rPr>
                <w:szCs w:val="24"/>
              </w:rPr>
              <w:t>Реестр сведений (</w:t>
            </w:r>
            <w:r>
              <w:t>сведения о лицах, по которым будет производиться поиск в индексе</w:t>
            </w:r>
            <w:r>
              <w:rPr>
                <w:szCs w:val="24"/>
              </w:rPr>
              <w:t>)</w:t>
            </w:r>
          </w:p>
        </w:tc>
        <w:tc>
          <w:tcPr>
            <w:tcW w:w="2699" w:type="dxa"/>
            <w:shd w:val="clear" w:color="auto" w:fill="auto"/>
          </w:tcPr>
          <w:p w:rsidR="00722750" w:rsidRDefault="00722750" w:rsidP="00722750">
            <w:r>
              <w:t>В рамках макета – ручной ввод.</w:t>
            </w:r>
          </w:p>
          <w:p w:rsidR="00722750" w:rsidRPr="00495419" w:rsidRDefault="00722750" w:rsidP="00722750">
            <w:r>
              <w:t>Файл</w:t>
            </w:r>
            <w:r w:rsidRPr="00495419">
              <w:t xml:space="preserve"> </w:t>
            </w:r>
            <w:r>
              <w:t>в</w:t>
            </w:r>
            <w:r w:rsidRPr="00495419">
              <w:t xml:space="preserve"> </w:t>
            </w:r>
            <w:r>
              <w:t>формате</w:t>
            </w:r>
            <w:r w:rsidRPr="00495419">
              <w:t xml:space="preserve"> </w:t>
            </w:r>
            <w:r>
              <w:rPr>
                <w:lang w:val="en-US"/>
              </w:rPr>
              <w:t>CSV</w:t>
            </w:r>
            <w:r w:rsidRPr="00495419">
              <w:t xml:space="preserve">, </w:t>
            </w:r>
            <w:r>
              <w:rPr>
                <w:lang w:val="en-US"/>
              </w:rPr>
              <w:t>XML</w:t>
            </w:r>
            <w:r w:rsidRPr="00495419">
              <w:t xml:space="preserve">, </w:t>
            </w:r>
            <w:r>
              <w:rPr>
                <w:lang w:val="en-US"/>
              </w:rPr>
              <w:t>XLS</w:t>
            </w:r>
            <w:r w:rsidRPr="00495419">
              <w:t>(</w:t>
            </w:r>
            <w:r>
              <w:rPr>
                <w:lang w:val="en-US"/>
              </w:rPr>
              <w:t>X</w:t>
            </w:r>
            <w:r w:rsidRPr="00495419">
              <w:t>)</w:t>
            </w:r>
          </w:p>
        </w:tc>
        <w:tc>
          <w:tcPr>
            <w:tcW w:w="3266" w:type="dxa"/>
            <w:shd w:val="clear" w:color="auto" w:fill="auto"/>
          </w:tcPr>
          <w:p w:rsidR="00722750" w:rsidRPr="00F17067" w:rsidRDefault="00722750" w:rsidP="00722750">
            <w:pPr>
              <w:widowControl w:val="0"/>
              <w:ind w:left="-43"/>
            </w:pPr>
            <w:r w:rsidRPr="00F17067">
              <w:t xml:space="preserve">Хранилище данных </w:t>
            </w:r>
            <w:r w:rsidRPr="00147C36">
              <w:t>налоговых органов</w:t>
            </w:r>
            <w:r w:rsidRPr="00F17067">
              <w:t xml:space="preserve">, </w:t>
            </w:r>
            <w:r w:rsidRPr="0080714C">
              <w:t>заполняется АИС</w:t>
            </w:r>
            <w:r>
              <w:t xml:space="preserve"> «Налог-3»</w:t>
            </w:r>
            <w:r w:rsidRPr="00F17067">
              <w:t>,</w:t>
            </w:r>
          </w:p>
          <w:p w:rsidR="00722750" w:rsidRPr="00F17067" w:rsidRDefault="00722750" w:rsidP="00722750">
            <w:pPr>
              <w:widowControl w:val="0"/>
              <w:ind w:left="-43"/>
            </w:pPr>
            <w:r w:rsidRPr="00F17067">
              <w:t xml:space="preserve">Регламент обновления – </w:t>
            </w:r>
            <w:r>
              <w:t>еженедельно</w:t>
            </w:r>
            <w:r w:rsidRPr="00F17067">
              <w:t xml:space="preserve"> в автоматизированном режиме</w:t>
            </w:r>
          </w:p>
        </w:tc>
        <w:tc>
          <w:tcPr>
            <w:tcW w:w="2879" w:type="dxa"/>
            <w:shd w:val="clear" w:color="auto" w:fill="auto"/>
          </w:tcPr>
          <w:p w:rsidR="00722750" w:rsidRPr="006C54E7" w:rsidRDefault="00722750" w:rsidP="00722750">
            <w:pPr>
              <w:rPr>
                <w:bCs/>
              </w:rPr>
            </w:pPr>
            <w:r>
              <w:t xml:space="preserve">Набор признаков для поиска сведений в </w:t>
            </w:r>
            <w:r w:rsidRPr="00F17067">
              <w:t xml:space="preserve">Хранилище данных </w:t>
            </w:r>
            <w:r w:rsidRPr="00147C36">
              <w:t>налоговых органов</w:t>
            </w:r>
          </w:p>
        </w:tc>
        <w:tc>
          <w:tcPr>
            <w:tcW w:w="1620" w:type="dxa"/>
            <w:shd w:val="clear" w:color="auto" w:fill="auto"/>
          </w:tcPr>
          <w:p w:rsidR="00722750" w:rsidRPr="00F17067" w:rsidRDefault="00722750" w:rsidP="00722750">
            <w:proofErr w:type="gramStart"/>
            <w:r w:rsidRPr="00503EC8">
              <w:rPr>
                <w:bCs/>
              </w:rPr>
              <w:t>до</w:t>
            </w:r>
            <w:proofErr w:type="gramEnd"/>
            <w:r w:rsidRPr="00503EC8">
              <w:rPr>
                <w:bCs/>
              </w:rPr>
              <w:t xml:space="preserve"> 2 000 записей</w:t>
            </w:r>
            <w:r w:rsidRPr="00503EC8">
              <w:rPr>
                <w:bCs/>
                <w:vertAlign w:val="superscript"/>
              </w:rPr>
              <w:fldChar w:fldCharType="begin"/>
            </w:r>
            <w:r w:rsidRPr="00503EC8">
              <w:rPr>
                <w:bCs/>
                <w:vertAlign w:val="superscript"/>
              </w:rPr>
              <w:instrText xml:space="preserve"> NOTEREF _Ref503271296 \h </w:instrText>
            </w:r>
            <w:r w:rsidRPr="00503EC8">
              <w:rPr>
                <w:bCs/>
                <w:vertAlign w:val="superscript"/>
              </w:rPr>
            </w:r>
            <w:r w:rsidRPr="00503EC8">
              <w:rPr>
                <w:bCs/>
                <w:vertAlign w:val="superscript"/>
              </w:rPr>
              <w:instrText xml:space="preserve"> \* MERGEFORMAT </w:instrText>
            </w:r>
            <w:r w:rsidRPr="00503EC8">
              <w:rPr>
                <w:bCs/>
                <w:vertAlign w:val="superscript"/>
              </w:rPr>
              <w:fldChar w:fldCharType="separate"/>
            </w:r>
            <w:r>
              <w:rPr>
                <w:bCs/>
                <w:vertAlign w:val="superscript"/>
              </w:rPr>
              <w:t>5</w:t>
            </w:r>
            <w:r w:rsidRPr="00503EC8">
              <w:rPr>
                <w:bCs/>
                <w:vertAlign w:val="superscript"/>
              </w:rPr>
              <w:fldChar w:fldCharType="end"/>
            </w:r>
            <w:r w:rsidRPr="00F17067">
              <w:rPr>
                <w:bCs/>
              </w:rPr>
              <w:t xml:space="preserve"> </w:t>
            </w:r>
          </w:p>
        </w:tc>
        <w:tc>
          <w:tcPr>
            <w:tcW w:w="2334" w:type="dxa"/>
            <w:shd w:val="clear" w:color="auto" w:fill="auto"/>
          </w:tcPr>
          <w:p w:rsidR="00722750" w:rsidRPr="00F17067" w:rsidRDefault="00722750" w:rsidP="00722750">
            <w:pPr>
              <w:widowControl w:val="0"/>
              <w:ind w:left="-43"/>
              <w:rPr>
                <w:bCs/>
              </w:rPr>
            </w:pPr>
            <w:r>
              <w:rPr>
                <w:bCs/>
              </w:rPr>
              <w:t>Ф4, Ф5</w:t>
            </w:r>
          </w:p>
        </w:tc>
      </w:tr>
    </w:tbl>
    <w:p w:rsidR="008E48BE" w:rsidRDefault="008E48BE">
      <w:bookmarkStart w:id="3" w:name="_GoBack"/>
      <w:bookmarkEnd w:id="3"/>
    </w:p>
    <w:sectPr w:rsidR="008E48BE" w:rsidSect="00722750">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AE0" w:rsidRDefault="00EC5AE0" w:rsidP="00722750">
      <w:r>
        <w:separator/>
      </w:r>
    </w:p>
  </w:endnote>
  <w:endnote w:type="continuationSeparator" w:id="0">
    <w:p w:rsidR="00EC5AE0" w:rsidRDefault="00EC5AE0" w:rsidP="00722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AE0" w:rsidRDefault="00EC5AE0" w:rsidP="00722750">
      <w:r>
        <w:separator/>
      </w:r>
    </w:p>
  </w:footnote>
  <w:footnote w:type="continuationSeparator" w:id="0">
    <w:p w:rsidR="00EC5AE0" w:rsidRDefault="00EC5AE0" w:rsidP="00722750">
      <w:r>
        <w:continuationSeparator/>
      </w:r>
    </w:p>
  </w:footnote>
  <w:footnote w:id="1">
    <w:p w:rsidR="00722750" w:rsidRPr="008B48E4" w:rsidRDefault="00722750" w:rsidP="00722750">
      <w:pPr>
        <w:spacing w:line="276" w:lineRule="auto"/>
        <w:rPr>
          <w:lang w:val="en-US"/>
        </w:rPr>
      </w:pPr>
      <w:r>
        <w:rPr>
          <w:rStyle w:val="a8"/>
        </w:rPr>
        <w:footnoteRef/>
      </w:r>
      <w:r w:rsidRPr="008B48E4">
        <w:rPr>
          <w:lang w:val="en-US"/>
        </w:rPr>
        <w:t xml:space="preserve"> </w:t>
      </w:r>
      <w:hyperlink r:id="rId1" w:tooltip="Oracle Database 11g" w:history="1">
        <w:r w:rsidRPr="008B48E4">
          <w:rPr>
            <w:sz w:val="22"/>
            <w:szCs w:val="22"/>
            <w:lang w:val="en-US"/>
          </w:rPr>
          <w:t>Oracle Database 11g Enterprise Edition</w:t>
        </w:r>
      </w:hyperlink>
      <w:r w:rsidRPr="008B48E4">
        <w:rPr>
          <w:sz w:val="22"/>
          <w:szCs w:val="22"/>
          <w:lang w:val="en-US"/>
        </w:rPr>
        <w:t xml:space="preserve">, </w:t>
      </w:r>
      <w:hyperlink r:id="rId2" w:tooltip="Oracle Database 11g" w:history="1">
        <w:r w:rsidRPr="008B48E4">
          <w:rPr>
            <w:sz w:val="22"/>
            <w:szCs w:val="22"/>
            <w:lang w:val="en-US"/>
          </w:rPr>
          <w:t>Oracle Database 12c Enterprise Edition</w:t>
        </w:r>
      </w:hyperlink>
      <w:r w:rsidRPr="008B48E4">
        <w:rPr>
          <w:sz w:val="22"/>
          <w:szCs w:val="22"/>
          <w:lang w:val="en-US"/>
        </w:rPr>
        <w:t xml:space="preserve">, </w:t>
      </w:r>
      <w:hyperlink r:id="rId3" w:tooltip="Oracle Exadata Database Machine X5" w:history="1">
        <w:r w:rsidRPr="008B48E4">
          <w:rPr>
            <w:sz w:val="22"/>
            <w:szCs w:val="22"/>
            <w:lang w:val="en-US"/>
          </w:rPr>
          <w:t xml:space="preserve">Oracle </w:t>
        </w:r>
        <w:proofErr w:type="spellStart"/>
        <w:r w:rsidRPr="008B48E4">
          <w:rPr>
            <w:sz w:val="22"/>
            <w:szCs w:val="22"/>
            <w:lang w:val="en-US"/>
          </w:rPr>
          <w:t>Exadata</w:t>
        </w:r>
        <w:proofErr w:type="spellEnd"/>
        <w:r w:rsidRPr="008B48E4">
          <w:rPr>
            <w:sz w:val="22"/>
            <w:szCs w:val="22"/>
            <w:lang w:val="en-US"/>
          </w:rPr>
          <w:t xml:space="preserve"> Database Machine X5-8</w:t>
        </w:r>
      </w:hyperlink>
      <w:r w:rsidRPr="008B48E4">
        <w:rPr>
          <w:sz w:val="22"/>
          <w:szCs w:val="22"/>
          <w:lang w:val="en-US"/>
        </w:rPr>
        <w:t xml:space="preserve"> (X2-8, X3-8)</w:t>
      </w:r>
    </w:p>
  </w:footnote>
  <w:footnote w:id="2">
    <w:p w:rsidR="00722750" w:rsidRPr="008B48E4" w:rsidRDefault="00722750" w:rsidP="00722750">
      <w:pPr>
        <w:spacing w:line="276" w:lineRule="auto"/>
        <w:rPr>
          <w:lang w:val="en-US"/>
        </w:rPr>
      </w:pPr>
      <w:r>
        <w:rPr>
          <w:rStyle w:val="a8"/>
        </w:rPr>
        <w:footnoteRef/>
      </w:r>
      <w:r w:rsidRPr="008B48E4">
        <w:rPr>
          <w:lang w:val="en-US"/>
        </w:rPr>
        <w:t xml:space="preserve"> </w:t>
      </w:r>
      <w:hyperlink r:id="rId4" w:tooltip="Microsoft SQL Server 2005" w:history="1">
        <w:r w:rsidRPr="008B48E4">
          <w:rPr>
            <w:sz w:val="22"/>
            <w:szCs w:val="22"/>
            <w:lang w:val="en-US"/>
          </w:rPr>
          <w:t>Microsoft SQL Server 2005</w:t>
        </w:r>
      </w:hyperlink>
      <w:r w:rsidRPr="008B48E4">
        <w:rPr>
          <w:sz w:val="22"/>
          <w:szCs w:val="22"/>
          <w:lang w:val="en-US"/>
        </w:rPr>
        <w:t xml:space="preserve">, </w:t>
      </w:r>
      <w:hyperlink r:id="rId5" w:tooltip="Microsoft SQL Server 2005" w:history="1">
        <w:r w:rsidRPr="008B48E4">
          <w:rPr>
            <w:sz w:val="22"/>
            <w:szCs w:val="22"/>
            <w:lang w:val="en-US"/>
          </w:rPr>
          <w:t>Microsoft SQL Server 2008</w:t>
        </w:r>
      </w:hyperlink>
      <w:r w:rsidRPr="008B48E4">
        <w:rPr>
          <w:sz w:val="22"/>
          <w:szCs w:val="22"/>
          <w:lang w:val="en-US"/>
        </w:rPr>
        <w:t>;</w:t>
      </w:r>
    </w:p>
  </w:footnote>
  <w:footnote w:id="3">
    <w:p w:rsidR="00722750" w:rsidRPr="008B48E4" w:rsidRDefault="00722750" w:rsidP="00722750">
      <w:pPr>
        <w:pStyle w:val="a6"/>
        <w:rPr>
          <w:lang w:val="en-US"/>
        </w:rPr>
      </w:pPr>
      <w:r>
        <w:rPr>
          <w:rStyle w:val="a8"/>
        </w:rPr>
        <w:footnoteRef/>
      </w:r>
      <w:r w:rsidRPr="008B48E4">
        <w:rPr>
          <w:lang w:val="en-US"/>
        </w:rPr>
        <w:t xml:space="preserve"> </w:t>
      </w:r>
      <w:hyperlink r:id="rId6" w:tooltip="Teradata Active Enterprise Data Warehouse 6750 (Teradata Active EDW)" w:history="1">
        <w:r w:rsidRPr="008B48E4">
          <w:rPr>
            <w:sz w:val="22"/>
            <w:szCs w:val="22"/>
            <w:lang w:val="en-US"/>
          </w:rPr>
          <w:t>Enterprise Data Warehouse 6700</w:t>
        </w:r>
      </w:hyperlink>
      <w:r w:rsidRPr="008B48E4">
        <w:rPr>
          <w:sz w:val="22"/>
          <w:szCs w:val="22"/>
          <w:lang w:val="en-US"/>
        </w:rPr>
        <w:t>, Teradata Data Warehouse Appliance 2800 (2650)</w:t>
      </w:r>
    </w:p>
  </w:footnote>
  <w:footnote w:id="4">
    <w:p w:rsidR="00722750" w:rsidRDefault="00722750" w:rsidP="00722750">
      <w:pPr>
        <w:pStyle w:val="a6"/>
      </w:pPr>
      <w:r>
        <w:rPr>
          <w:rStyle w:val="a8"/>
        </w:rPr>
        <w:footnoteRef/>
      </w:r>
      <w:r>
        <w:t xml:space="preserve"> </w:t>
      </w:r>
      <w:r w:rsidRPr="00B1347B">
        <w:rPr>
          <w:sz w:val="22"/>
          <w:szCs w:val="22"/>
        </w:rPr>
        <w:t>Уточняется Заказчиком</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FF67F4"/>
    <w:multiLevelType w:val="hybridMultilevel"/>
    <w:tmpl w:val="8592C75E"/>
    <w:lvl w:ilvl="0" w:tplc="FFFFFFFF">
      <w:start w:val="1"/>
      <w:numFmt w:val="decimal"/>
      <w:lvlText w:val="%1"/>
      <w:lvlJc w:val="left"/>
      <w:pPr>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750"/>
    <w:rsid w:val="00722750"/>
    <w:rsid w:val="008E48BE"/>
    <w:rsid w:val="00EC5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F06999-2D06-4C93-AA90-838C3D04C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7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Обычный Слева: 0 мм"/>
    <w:basedOn w:val="a"/>
    <w:rsid w:val="00722750"/>
    <w:pPr>
      <w:widowControl w:val="0"/>
      <w:kinsoku w:val="0"/>
      <w:overflowPunct w:val="0"/>
      <w:autoSpaceDE w:val="0"/>
      <w:autoSpaceDN w:val="0"/>
      <w:spacing w:line="360" w:lineRule="auto"/>
      <w:jc w:val="both"/>
    </w:pPr>
    <w:rPr>
      <w:szCs w:val="20"/>
    </w:rPr>
  </w:style>
  <w:style w:type="paragraph" w:styleId="a3">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а"/>
    <w:basedOn w:val="a"/>
    <w:next w:val="a"/>
    <w:link w:val="a4"/>
    <w:uiPriority w:val="35"/>
    <w:qFormat/>
    <w:rsid w:val="00722750"/>
    <w:rPr>
      <w:b/>
      <w:bCs/>
      <w:sz w:val="20"/>
      <w:szCs w:val="20"/>
      <w:lang w:val="x-none" w:eastAsia="x-none"/>
    </w:rPr>
  </w:style>
  <w:style w:type="character" w:customStyle="1" w:styleId="14pt">
    <w:name w:val="Обычный + 14 pt Знак"/>
    <w:rsid w:val="00722750"/>
    <w:rPr>
      <w:noProof w:val="0"/>
      <w:sz w:val="28"/>
      <w:lang w:val="ru-RU" w:eastAsia="ru-RU" w:bidi="ar-SA"/>
    </w:rPr>
  </w:style>
  <w:style w:type="character" w:styleId="a5">
    <w:name w:val="Emphasis"/>
    <w:qFormat/>
    <w:rsid w:val="00722750"/>
    <w:rPr>
      <w:i/>
      <w:iCs/>
    </w:rPr>
  </w:style>
  <w:style w:type="paragraph" w:styleId="a6">
    <w:name w:val="footnote text"/>
    <w:basedOn w:val="a"/>
    <w:link w:val="a7"/>
    <w:uiPriority w:val="99"/>
    <w:semiHidden/>
    <w:rsid w:val="00722750"/>
    <w:rPr>
      <w:sz w:val="20"/>
      <w:lang w:val="x-none" w:eastAsia="x-none"/>
    </w:rPr>
  </w:style>
  <w:style w:type="character" w:customStyle="1" w:styleId="a7">
    <w:name w:val="Текст сноски Знак"/>
    <w:basedOn w:val="a0"/>
    <w:link w:val="a6"/>
    <w:uiPriority w:val="99"/>
    <w:semiHidden/>
    <w:rsid w:val="00722750"/>
    <w:rPr>
      <w:rFonts w:ascii="Times New Roman" w:eastAsia="Times New Roman" w:hAnsi="Times New Roman" w:cs="Times New Roman"/>
      <w:sz w:val="20"/>
      <w:szCs w:val="24"/>
      <w:lang w:val="x-none" w:eastAsia="x-none"/>
    </w:rPr>
  </w:style>
  <w:style w:type="character" w:styleId="a8">
    <w:name w:val="footnote reference"/>
    <w:uiPriority w:val="99"/>
    <w:semiHidden/>
    <w:rsid w:val="00722750"/>
    <w:rPr>
      <w:dstrike w:val="0"/>
      <w:color w:val="auto"/>
      <w:sz w:val="20"/>
      <w:vertAlign w:val="superscript"/>
    </w:rPr>
  </w:style>
  <w:style w:type="character" w:customStyle="1" w:styleId="a4">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а Знак"/>
    <w:link w:val="a3"/>
    <w:uiPriority w:val="35"/>
    <w:locked/>
    <w:rsid w:val="00722750"/>
    <w:rPr>
      <w:rFonts w:ascii="Times New Roman" w:eastAsia="Times New Roman"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dviser.ru/index.php/%D0%9F%D1%80%D0%BE%D0%B4%D1%83%D0%BA%D1%82:Microsoft_SQL_Server_2005" TargetMode="External"/><Relationship Id="rId3" Type="http://schemas.openxmlformats.org/officeDocument/2006/relationships/settings" Target="settings.xml"/><Relationship Id="rId7" Type="http://schemas.openxmlformats.org/officeDocument/2006/relationships/hyperlink" Target="http://www.tadviser.ru/index.php/%D0%9F%D1%80%D0%BE%D0%B4%D1%83%D0%BA%D1%82:Oracle_Database_11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tadviser.ru/index.php/%D0%9F%D1%80%D0%BE%D0%B4%D1%83%D0%BA%D1%82:Oracle_Exadata_Database_Machine_X5" TargetMode="External"/><Relationship Id="rId2" Type="http://schemas.openxmlformats.org/officeDocument/2006/relationships/hyperlink" Target="http://www.tadviser.ru/index.php/%D0%9F%D1%80%D0%BE%D0%B4%D1%83%D0%BA%D1%82:Oracle_Database_11g" TargetMode="External"/><Relationship Id="rId1" Type="http://schemas.openxmlformats.org/officeDocument/2006/relationships/hyperlink" Target="http://www.tadviser.ru/index.php/%D0%9F%D1%80%D0%BE%D0%B4%D1%83%D0%BA%D1%82:Oracle_Database_11g" TargetMode="External"/><Relationship Id="rId6" Type="http://schemas.openxmlformats.org/officeDocument/2006/relationships/hyperlink" Target="http://www.tadviser.ru/index.php/%D0%9F%D1%80%D0%BE%D0%B4%D1%83%D0%BA%D1%82:Teradata_Active_Enterprise_Data_Warehouse_6750_(Teradata_Active_EDW)" TargetMode="External"/><Relationship Id="rId5" Type="http://schemas.openxmlformats.org/officeDocument/2006/relationships/hyperlink" Target="http://www.tadviser.ru/index.php/%D0%9F%D1%80%D0%BE%D0%B4%D1%83%D0%BA%D1%82:Microsoft_SQL_Server_2005" TargetMode="External"/><Relationship Id="rId4" Type="http://schemas.openxmlformats.org/officeDocument/2006/relationships/hyperlink" Target="http://www.tadviser.ru/index.php/%D0%9F%D1%80%D0%BE%D0%B4%D1%83%D0%BA%D1%82:Microsoft_SQL_Server_2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А. Кащенко</dc:creator>
  <cp:keywords/>
  <dc:description/>
  <cp:lastModifiedBy>Александр А. Кащенко</cp:lastModifiedBy>
  <cp:revision>1</cp:revision>
  <dcterms:created xsi:type="dcterms:W3CDTF">2019-03-18T07:16:00Z</dcterms:created>
  <dcterms:modified xsi:type="dcterms:W3CDTF">2019-03-18T07:18:00Z</dcterms:modified>
</cp:coreProperties>
</file>